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My name is Jemilla Mills-Smith — I’m a black woman who has lived in both the populated area of North York and the rural area of St. Albert, Alberta. I have seen the benefits of what public funding for community programs and organizations can do, and, alternatively, what happens when that funding is reallocated to increase police budgets. The former trumps the latter in terms of benefits, but police services are still funded with increasing vigour. I’m speaking in the names of Regis Korckinski-Paquet, De’Andre Campbell, and Chantel Moore — whose lives ended too soon because of police violence and improper training.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Toronto Police Services has a 2020 operating budget of $1.22 billion, which is the single biggest line on the city’s operating budget — this large operating budget should account for proper training for officers; however, police-involved fatalities in Canada are rising, and police force used in marginalized communities and on citizens with mental health issues are highly disproportionate to other communities. The increasing operating budget is not helping to minimize the negative impact of police-use-of-force: if anything, it’s stimulating it.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It was found in a 2018 OHRC report that black people are overrepresented in police-use-of-force cases, representing 9 out of 15 police shootings resulting in serious injury or death, and 8 out of 13 use-of-force cases resulting in civilian death. From 2000-2017 there were 461 fatal police encounters — and while black people only make up 8.3% of the Toronto population, they made up nearly 37% of these victims. Similarly, Indigenous people make up 5% of the Canadian population, but comprise 37% of the last 100 deaths by police.  And it was found in another OHRC study that the TPS has been found guilty of unnecessary charges and arrests, inappropriate or unjustified searches during encounters, and lack of legal basis for police stopping or detaining black civilians. Police training focuses on use-of-force and enforcement; however, this occurs disproportionately in Indigenous and black communities, and does not fully encompass the training needed to de-escalate situations regarding mental health and substance abuse crises, and issues involving people of colour.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police budget is larger than public funding allotted to libraries, housing, and shelters combined. The TPS is meant to serve and protect, but the data shows that the egregiously large operating budget has done far more damage to BIPOC and at-risk individuals than good. And the benefits of these aforementioned institutions shouldn’t be overlooked. In a book by Leslie Fitch and Jody Warner, it was displayed that libraries combat lower literacy rates nationwide and higher library traffic is linked to more economic activity for local businesses. Additionally, permanent supportive housing helps to provide safe and stable environments for people with mental and substance abuse problems and those experiencing homelessness. And NYU Researchers found that in a city of 100,000, for every community-led programand organizatin, there was a drop in the homicide rate (1.2%), violent crime rate (1%), and property crime rate (0.7%). I ask you to just imagine what that would look like in a city of 6.2 million people. Providing further funding to institutions like these would do more to help these communities, something in which we’re seeing the TPS fail regularly. With the outcomes of wellness checks alone, the TPS is failing in protecting and serving the very people they’re called in to help. And quite frankly, I wouldn’t want to call in a force with weapons to de-escalate a situation to which they are not equipped to handle.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So I ask of you to call to decrease the TPS budget by a minimum of 50% — because the current budget does not seem to be working in keeping BIPOC and those suffering from mental health issues, substance abuse and homelessness safe and protected. I instead ask for a reallocation of funds to community-led programs and organizations like libraries, shelters and affordable housing, community-run health centres, and mental health &amp; restorative services. I ask for the remaining TPS budget to be used, to the best of its ability, to create community-led, trauma-informed emergency services for mental health and psychiatric distress, to call on medical professionals for mental health crises and wellness checks, and to call in well-versed community-led organizations and professionals to assist and oversee de-escalation and cultural sensitivity training every quarter for the next ten years.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